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Забайкальского края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образования и молодёжной политики Администрации муниципального района "Могойтуйский район" 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"МСОШ №2 им. Ю.Б. Шагдарова"МОУ «Могойтуйская  средняя  общеобразовательная  школа  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.Ю.Б.Шагдарова»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D59">
        <w:rPr>
          <w:rFonts w:ascii="Times New Roman" w:eastAsia="Times New Roman" w:hAnsi="Times New Roman" w:cs="Times New Roman"/>
          <w:sz w:val="20"/>
          <w:szCs w:val="20"/>
          <w:lang w:eastAsia="ru-RU"/>
        </w:rPr>
        <w:t>«Рассмотрено»                                  «Согласовано»                                    «Утверждаю»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D5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МО                           Зам. директора по УВР                        Директор МОУ МСОШ №2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D5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Гомбоева Ж.Р.                                Аникина И.Н.                                         Дамдинжапов Б.Б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D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августа 2023г.                             28 августа 2023г.                                  28 августа 2023г.                                        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Рабочая  программа</w:t>
      </w:r>
    </w:p>
    <w:p w:rsidR="00454D59" w:rsidRPr="00454D59" w:rsidRDefault="003A37EF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родному (бурятскму</w:t>
      </w:r>
      <w:r w:rsidR="00454D59"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>)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54D59"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 государственный)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класс.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</w:t>
      </w: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4D59" w:rsidRPr="00454D59" w:rsidRDefault="00454D59" w:rsidP="00454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 Могойтуй</w:t>
      </w: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454D59" w:rsidRPr="00454D59" w:rsidRDefault="00454D59" w:rsidP="00454D5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программа «Родной (бурятский) язык» для 9 класса   разработана на основе ФЗ  №273  от 29 декабря 2012 года «Об образовании в РФ» с изменениями и дополнениями,  ФГОС ООО, утвержденного приказом Министерства просвещения Российской Федерации от 31.05.2021 г. №287   и ФОП ООО , утвержд. Приказом №370 Минпросвещения РФ от 18.05.2023. Также при реализации ООП ООО учтены требования :</w:t>
      </w:r>
    </w:p>
    <w:p w:rsidR="00454D59" w:rsidRPr="00454D59" w:rsidRDefault="00454D59" w:rsidP="00454D5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•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обитания".основе Федерального государственного образовательного стандарта основного общего образования,( Приказ министерства просвещения России от 31 мая 2021г. № 287, зарегистрированный Министерством юстиции Российской федерации 0507 2021, рег. номер 64101), примерного  ООП ООО (протокол от 12.05.2016 №2/16),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родного языка и литературы в рамках учебного предмета «Бурятский язык как государственный язык РБ»</w:t>
      </w:r>
    </w:p>
    <w:p w:rsidR="00454D59" w:rsidRPr="00454D59" w:rsidRDefault="00454D59" w:rsidP="00454D5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(бурятский) язык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учебный предмет входит в образовательную область «Филология», или гуманитарные предметы,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построена с учётом принципов системности, научности, доступности и преемственности;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 «Родной (бурятский) язык» (9 класс)  включает  разделы:</w:t>
      </w:r>
    </w:p>
    <w:p w:rsidR="00454D59" w:rsidRPr="00454D59" w:rsidRDefault="00454D59" w:rsidP="00454D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пояснительную  записку, включающую цели его изучения, основные  содержательные  линии,  требования к уровню  подготовки  учащихся,  список   учебно-методической  литературы;</w:t>
      </w:r>
    </w:p>
    <w:p w:rsidR="00454D59" w:rsidRPr="00454D59" w:rsidRDefault="00454D59" w:rsidP="00454D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  тематическое  планирование</w:t>
      </w:r>
      <w:r w:rsidRPr="00454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содержащее  тему  урока и тип  урока.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 реализации  программы  используется УМК:   </w:t>
      </w:r>
    </w:p>
    <w:p w:rsidR="00454D59" w:rsidRPr="00454D59" w:rsidRDefault="00454D59" w:rsidP="00454D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1.Учебник О.Г. Макаровой «Бурятский язык» издательство «Бэлиг» г. Улан-Удэ 2012г.  </w:t>
      </w:r>
    </w:p>
    <w:p w:rsidR="00454D59" w:rsidRPr="00454D59" w:rsidRDefault="00454D59" w:rsidP="00454D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2.Программа по бурятскому языку как государственному для 2-9 классов общеобразовательных школ с русским языком обучения.</w:t>
      </w:r>
    </w:p>
    <w:p w:rsidR="00454D59" w:rsidRPr="00454D59" w:rsidRDefault="00454D59" w:rsidP="00454D59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С.Ц.Содномов, Р.С.ДылыковаБ.Д. Жамбалов, Б.Д.Содномова.</w:t>
      </w:r>
    </w:p>
    <w:p w:rsidR="00454D59" w:rsidRPr="00454D59" w:rsidRDefault="00454D59" w:rsidP="00454D59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Улан-Удэ «Бэлиг» 2010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Основным назначением программы по</w:t>
      </w:r>
      <w:r w:rsidR="005939AF" w:rsidRP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(бурятскому) языку</w:t>
      </w:r>
      <w:r w:rsidR="005939AF" w:rsidRP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(государственному)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формирование у обучающихся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коммуникативно-деятельностной направленности изучения бурятского языка, нацеленность его на метапредметные результаты обучения являются важнейшими условиями формирования функциональной грамотности. Программа по</w:t>
      </w:r>
      <w:r w:rsid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родному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(бурятскому) языку</w:t>
      </w:r>
      <w:r w:rsid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5939AF" w:rsidRP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</w:t>
      </w:r>
      <w:r w:rsid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основного общего образования реализуется через личностно-ориентированный, коммуникативно-когнитивный, социокультурный, деятельностный и текстоориентированный подходы.</w:t>
      </w:r>
    </w:p>
    <w:p w:rsidR="005939AF" w:rsidRPr="005939AF" w:rsidRDefault="00454D59" w:rsidP="005939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939AF" w:rsidRP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939AF" w:rsidRPr="005939AF" w:rsidRDefault="005939AF" w:rsidP="005939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4D59" w:rsidRPr="00454D59" w:rsidRDefault="005939AF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454D59"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</w:t>
      </w:r>
      <w:r w:rsidR="00454D59"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бурятском языке в совокупности её составляющих - речевой, языковой, социокультурной, компенсаторной, учебно-познавательной.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родного(бурятского) языка (как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государственного) направлено на достижение следующих </w:t>
      </w:r>
      <w:r w:rsidRPr="00454D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целей: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использование коммуникативно-эстетических возможностей родного языка;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расширение и систематизация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языка. Знание понятий лингвистики не выносится на промежуточную и государственную итоговую аттестацию;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формирование ответственности за языковую культуру как общечеловеческую ценность.    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9)воспитание качеств гражданина,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обучающимися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назначением программы по государственному (бурятскому) языку является формирование у обучающихся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коммуникативно-деятельностной направленности изучения бурятского языка, нацеленность его на метапредметные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ориентированный, коммуникативно-когнитивный, социокультурный, деятельностный и текстоориентированный подходы.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её составляющих - речевой, языковой, социокультурной, компенсаторной, учебно-познавательной.</w:t>
      </w:r>
    </w:p>
    <w:p w:rsidR="00454D59" w:rsidRPr="00454D59" w:rsidRDefault="00454D59" w:rsidP="00454D5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Коммуникативные умения.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Дружба (Нухэсэл). Любовь (Инаг дуран).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Учёба (Ъуралсал). Выбор профессии (Хэн болохобиб?).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день, отдых (Минин ажабайдал). Читаем на бурятском! (Буряадаар ном уншая!)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 (Элуур энхэ байдал). Спорт (Тамир).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(Аяншалга). Путешествие в зарубежные страны (Хари гурэнеер аяншалга).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семья, родословная (Минин булэ, уг гарбал). Монголоязычные народы (Монгол туургата арадууд).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Культура, традиции (Соел, ёйо заншал). Праздники разных народов (Дэлхэйн арадуудай Ьайндэрнууд).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 (Мэргэжэл). Менеджер и лидер (Хутэлбэрилэгшэ болон ударидагша).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(ХубсаЬан). Производство и дизайн одежды. Дизайнер (ХубсаЬанай уйлэдбэри. ХубсаЬа зохёогшо).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оворение.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Диалогическая речь. Развитие у обучающихся диалогической речи в 9 классе предусматривает овладение умениями вести диалог этикетного характера, диалог- расспрос, диалог-побуждение к действию и диалог-обмен мнениями, а также их комбинации.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диалогов этикетного характера: начать, поддержать и закончить разговор; поздравить, выразить пожелания и отреагировать на них; выразить благодарность;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 или отказ.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этикетных диалогов - до 4 реплик со стороны каждого участника. Речевые умения при ведении диалога-расспроса: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 сообщать фактическую информацию, переходя с позиции спрашивающего на позицию отвечающего;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расспрашивать, брать интервью.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данных диалогов - до 5-6 реплик со стороны каждого участника. Речевые умения при ведении диалога-побуждения к действию: обратиться с просьбой и выразить готовность или отказ выполнить её; дать совет и принять или не принять его;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или взаимодействию и согласиться или не согласиться принять в нём участие;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спроводить предложение и выразить согласие или несогласие принять его, объяснить причину.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данных диалогов - до 4 реплик со стороны каждого участника.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диалога-обмена мнениями: выразить точку зрения и согласиться или не согласиться с ней; высказать одобрение или неодобрение; выразить сомнение;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выразить эмоциональную оценку обсуждаемых событий (радость огорчение, желание нежелание).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диалогов - не менее 5-7 реплик со стороны каждого участника.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участии в этих видах диалога и их комбинациях обучающиеся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речь. Развитие монологической речи предусматривает овладение следующими умениями: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содержание, основную мысль прочитанного с использованием текста;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сообщение в связи с прочитанным текстом;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и аргументировать своё отношение к прочитанному или услышанному.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монологического высказывания - до 10-12 фраз.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понимать на слух бурятский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следующих умений: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использованием языковой догадки, контекста;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незнакомый языковой материал, не существенный для понимания.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9 класса, иметь образовательную и воспитательную ценность. Время звучания текста - до 2-2,5 минут.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учатся читать и понимать методически аутентичные и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чтение), с полным пониманием содержания (изучающее чтение), с выборочным пониманием нужной или интересующей информации (просмотровое поисковое чтение).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9 класса, иметь образовательную и воспитательную ценность, воздействовать на эмоциональную сферу обучающихся.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чтения возможно использование двуязычного словаря. Чтение с пониманием основного содержания текста осуществляется на методически аутентичных и аутентичных материалах, отражающих особенности быта, жизни, культуры региона.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текста - до 500 слов.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полным пониманием текста осуществляется на методически аутентичных и аутентичных текстах разных жанров.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текста - до 350-450 слов.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Формируемые умения в области чтения (для чтения с пониманием основного содержания текста и для чтения с полным пониманием текста):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содержании текста, понимать его основное содержание и извлекать эксплицитно представленную информацию;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и интерпретировать информацию, имплицитно представленную в тексте;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осмыслить и оценить прочитанный текст.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выборочным понимание нужной или интересующей информации предполагает умение просмотреть аутентичный текст, (статью или несколько статей из газеты, журнала, с сайта в сети Интернет) и выбрать информацию, которая необходима или представляет интерес для обучающихся.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 проводить выписки из текста;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днём рождения, другими праздниками, выражать пожелания (объёмом 30-40 слов, включая написание адреса);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с использованием и без использования образца (расспрашивать адресата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(объём личного письма 70-90 слов, включая адрес).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у обучающиеся развиваются такие специальные учебные умения, как: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информационную переработку бурятских текстов, раскрывая разнообразными способами значения новых слов, определяя грамматическую форму;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словарями и справочниками, в том числе электронными;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проектной деятельности, в том числе межпредметного характера, требующей использования источников информации на бурятском языке.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аудировании - языковую догадку, тематическое прогнозирование содержания, опускать игнорировать информацию, не мешающую понять основное значение текста.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Языковые знания и навыки.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Графика и орфография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обучения, и получение навыков их применения в рамках изучаемого лексико-грамматического материала. Владение орфографическими навыками в пределах усвоенного языкового материала.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Фонетическая сторона речи.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произношения и различения на слух всех звуков бурятского языка;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акцентуации слова. Членение предложений на смысловые группы. Соблюдение правильной интонации в различных типах предложений.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Дальнейшее совершенствование слухо-произносительных навыков, в том числе применительно к новому языковому материалу.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Лексическая сторона речи.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продуктивного и рецептивного лексического минимума за счёт лексических средств обслуживающих новые темы, проблемы и ситуации общения. К 1000-1050 лексическим единицам, усвоенным обучающимися ранее, добавляются около 150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бурятскую культуру. Объём рецептивного словаря увеличивается за счёт текстов для чтения и составляет примерно 1300-1400 лексических единиц, включая продуктивный лексический минимум.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Обучающиеся 9 класса учатся употреблять в речи названия объектов, географических названий на бурятском языке. Развитие навыков их распознавания и употребления в речи.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Грамматическая сторона речи.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значений грамматических явлений, изученных в предыдущих классах, и овладение новыми грамматическими явлениями.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углубление изученного материала на предыдущих этапах.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Синтаксис. Словосочетание, оборот и предложение. Виды простого предложения по цели высказывания; односоставные и двусоставные предложения. Побудительное предложение. Однородные члены предложения. Причастный и деепричастный оборот. Прямая и косвенная речь. Обращение.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Единственное и множественное число имён существительных.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обобщительные местоимения (бухы, булта, бугэдэ).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выделительные местоимения (бэшэ, бусад). неопределённые местоимения (хэн нэгэн, али нэгэ, нэгэ хэды, хэды, хэдэн, иимэ, тиимэ).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Различения функций многократного и однократного причастий.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Глагольные формы в настоящем, прошедшем, будущем времени, многократного причастий и их различение.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Соединительное, разделительное, слитное, целевое деепричастие.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 глагола (яба, ябагты, ябыш, ябыт, ябаг, ябаарай, ябая, ябаhуу) и их различение.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двух, трёхкомпонентных сложных глагольных сказуемых и их различение.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Сложноподчинённые предложения с придаточными: определительными: Ябаhан хун яhа зуудаг гэhэн буряад оньhон угэ бии. изъяснительными: Буряад орондо Альпануудташье, Швейцридашье адли газарнууд бии гэжэ аяншалагшад хэлэдэг.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обстоятельственными: Байгал далай бэлхэйн баялиг болоно, тиимэйээ нангин далайгаа булта гамная!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Сложноподчинённые предложения с союзом и союзными словами гэжэ, гэЬэн,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гээд.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(опознавание, различение и употребление) изученного ранее материала: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имён существительных; употребление послелогов, наречий;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аффиксов личного и безличного притяжания, личных и возвратных местоимений;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различение временных форм глагола; различение залогов глагола (нээгдэ, барилда, ошолсо); употребление модальных слов ёйотой, аргатай, хэрэгтэй, дуратай; соблюдение порядка слов в предложении; выделение безличных предложений (Газаа хуйтэрбэ);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типов вопросительных предложений и употребление вопросительных слов;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придаточных предложений с союзами и союзными словами.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Социокультурные знания и умения.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буддийского образования. Культура поведения в культовых местах. Экологическая культура бурят. Генеалогия бурят. Происхождение народов мира.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рекомендованных для изучения государственного (бурятского) языка  в 9 классе - 68 часов (2 часа в неделю) в нашей школе  34 часа (1 час в неделю),  17 ч.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 (бурятского) языка и 17ч родной(бурятской) литературы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Планируемые результаты освоения программы по государственному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(бурятскому) языку на уровне основного общего образования.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результате изучения родного (бурятского) языка (как государственного) на уровне основного общего образования у обучающегося будут сформированы следующие </w:t>
      </w:r>
      <w:r w:rsidRPr="00454D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бурятском языке;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(бурятском) языке;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патриотического воспитания: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родной стране;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духовно-нравственного воспитания: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эстетического воспитания: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сформированность навыков рефлексии, признание своего права на ошибку и такого же права другого человека;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трудового воспитания: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экологического воспитания: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ценности научного познания: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адаптации обучающегося к изменяющимся условиям социальной и природной среды: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результате изучения государственного (бурятского)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причинно- 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 обучающегося будут сформированы умения общения как часть коммуникативных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предпосылки конфликтных ситуаций и смягчать конфликты, вести переговоры;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У обучающегося будут сформированы умения самоорганизации как части регулятивных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выбор и брать ответственность за решение.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*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 и рефлексии;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давать оценку учебной ситуации и предлагать план её изменения;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регулировать способ выражения собственных эмоций; осознанно относиться к другому человеку и его мнению; признавать своё и чужое право на ошибку; принимать себя и других, не осуждая; проявлять открытость;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У обучающегося будут сформированы умения совместной деятельности: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4D59" w:rsidRPr="00454D59" w:rsidRDefault="00454D59" w:rsidP="00454D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F21CA" w:rsidRPr="006F21CA" w:rsidRDefault="00454D59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21CA" w:rsidRPr="006F2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="006F21CA"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предметной области "Родной (бурятский) язык" (как государственный)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ориентированы на применение знаний, умений и навыков в учебных ситуациях и реальных жизненных условиях, отражают сформированность иноязычной коммуникативной компетенции на до пороговом уровне в совокупности ее составляющих – речевой, языковой, социокультурной, компенсаторной, метапредметной (учебно-познавательной) и обеспечивают: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основными видами речевой деятельности в рамках следующего тематического содержания речи: Моя семья. Мои друзья. Свободное время современного подростка. Здоровый образ жизни. Школа. Мир современных профессий. Окружающий мир. Средства массовой информации и Интернет. Родная страна и страна/страны изучаемого языка. Выдающиеся люди родной страны и страны/стран изучаемого языка: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говорение: уметь вести разные виды диалога в стандартных ситуациях общения (диалог этикетного характера, диалог-побуждение к действию, диалог-расспрос, диалог-обмен мнениями, комбинированный диалог) объемом до 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объемом 10-12 фраз с вербальными и (или) невербальными опорами или без них в рамках тематического содержания речи; передавать основное содержание прочитанного/прослушанного текста; представлять результаты выполненной проектной работы объемом 10-12 фраз;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аудирование: 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задачи, с разной глубиной проникновения в их содержание: с пониманием основного содержания текстов, пониманием нужной/интересующей/запрашиваемой информации;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смысловое чтение: читать про себя и понимать несложные аутентичные тексты разного вида, жанра и стиля объемом 450-500 слов, содержащие незнакомые слова и отдельные неизученные языковые явления, не препятствующие решению коммуникативной задачи, с различной глубиной проникновения в их содержание: с пониманием основного содержания (определять тему, главную идею текста, цель его создания), пониманием нужной/интересующей/запрашиваемой информации (в том числе выявлять детали, важные для раскрытия основной идеи, содержания текста), полным пониманием содержания; читать несплошные тексты (таблицы, диаграммы, схемы) и понимать представленную в них информацию;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 объемом 100-120 слов, соблюдая речевой этикет, принятый в стране/странах изучаемого языка; создавать небольшие письменные высказывания объемом 100-120 слов с опорой на план, картинку, таблицу и (или) прочитанный/прослушанный текст; преобразовывать предложенные схематичные модели (таблица, схема) в текстовой вариант представления информации; представлять результаты выполненной проектной работы объемом 100-120 слов;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осмысленно читать вслух небольшие аутентичные тексты объемом до 120 слов, построенные в основном на изученном языковом материале, с соблюдением правил чтения и соответствующей интонацией); орфографическими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 пунктуационно правильно оформлять прямую речь; пунктуационно правильно оформлять электронное сообщение личного характера);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знание и понимание основных значений изученных лексических единиц (слова, словосочетания, речевые клише), основных способов словообразования (аффиксация, </w:t>
      </w: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словосложение, конверсия) и особенностей структуры простых и сложных предложений и различных коммуникативных типов предложений изучаемого иностранного языка;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признака классификации, основания для сравнения, а также родовидовых отношений, по группировке понятий по содержанию; овладение техникой дедуктивных и индуктивных умозаключений, в том числе умозаключений по аналогии в отношении грамматики изучаемого языка;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навыками употребления в устной и письменной речи не менее 1350 изученных лексических единиц (слов, словосочетаний, речевых клише), включая 500 лексических единиц, освоенных на уровне начального общего образования, образования родственных слов с использованием аффиксации, словосложения, конверсии;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(основные национальные праздники, проведение досуга, система образования, этикетные особенности посещения гостей, традиции в питании); иметь базовые знания о социокультурном портрете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культурном наследии родного народа и страны; </w:t>
      </w: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родную культуру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</w:t>
      </w: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языке; проявлять уважение к иной культуре и разнообразию культур, соблюдать нормы вежливости в межкультурном общении;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овладение компенсаторными умениями: использовать при говорении переспрос; при говорении и письме - перифраз/толкование, синонимические средства, описание предмета вместо его названия; при чтении и аудировании - языковую, в том числе контекстуальную, догадку;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умения классифицировать по разным признакам (в том числе устанавливать существенный признак классификации) названия предметов и явлений в рамках изученной тематики;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умения сравнивать (в том числе устанавливать основания для сравнения) объекты, явления, процессы, их элементы и основные функции в рамках изученной тематики;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умения рассматривать несколько вариантов решения коммуникативной задачи в продуктивных видах речевой деятельности;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11) формирование умения прогнозировать трудности, которые могут возникнуть при решении коммуникативной задачи во всех видах речевой деятельности;</w:t>
      </w:r>
    </w:p>
    <w:p w:rsidR="006F21CA" w:rsidRP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приобретение опыта практической деятельности в повседневной жизни:</w:t>
      </w:r>
    </w:p>
    <w:p w:rsidR="006F21CA" w:rsidRDefault="006F21CA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участвовать в учебно-исследовательской, проектной деятельности предметного и межпредметного характера с использованием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разных </w:t>
      </w:r>
      <w:r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и применением ИКТ; соблюдать правила информационной безопасности в ситуациях повседневной жизни и при работе в сети Интернет; использовать словари и справочники</w:t>
      </w:r>
    </w:p>
    <w:p w:rsidR="00454D59" w:rsidRDefault="00AD7031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6F21CA"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4)знакомить представителей других </w:t>
      </w:r>
      <w:r w:rsid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 </w:t>
      </w:r>
      <w:r w:rsidR="006F21CA"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культурой родно</w:t>
      </w:r>
      <w:r w:rsid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6F21CA" w:rsidRP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2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традициями.</w:t>
      </w:r>
    </w:p>
    <w:p w:rsidR="00AD7031" w:rsidRPr="00454D59" w:rsidRDefault="00AD7031" w:rsidP="006F21C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6.Библиографический  список.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Литература для  учащихся:</w:t>
      </w: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1.Учебник    О.Г.Макарова «Бурятский язык»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  для  учителя: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1.Учебник    О.Г.Макарова «Бурятский язык»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2.Учебник «Буряад хэлэн» 8 кл. автор С.Г.Ошоров, Ж.Ц.Жамбуева, издательство «Бэлиг» г.Улан-Удэ, 2016 )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Программа  по  бурятскому  языку   как  государственномудля 2-9 классов  общеобразовательных  школ  с  русским  языком  обучения.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4.Региональный стандарт начального и основного общего образования по бурятскому языку как государственному Республики Бурятия.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5.Учебное  пособие «Путешествуем  по  Бурятии. Авторы: О.А.Дареева, О.И.Богомолова.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6.Учебное пособие. «Практическая грамматика бурятского языка: морфология». Автор Цырендоржиева Б.Д. Улан-Удэ издательство БГУ 2016.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>7.Учебное пособие. «Моделирование урока бурятского языка как второго в условиях реализации ФГОС». Автор Цырендоржиева Б.Д. С.А.Дашиева.Улан-Удэ издательство БГУ 2016.</w:t>
      </w:r>
    </w:p>
    <w:p w:rsidR="00454D59" w:rsidRPr="00454D59" w:rsidRDefault="00454D59" w:rsidP="00454D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по родному (бурятскому) языку.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3"/>
        <w:gridCol w:w="2214"/>
        <w:gridCol w:w="4699"/>
        <w:gridCol w:w="935"/>
      </w:tblGrid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4D59" w:rsidRPr="00454D59" w:rsidRDefault="00454D59" w:rsidP="00454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Разделы.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D59" w:rsidRPr="00454D59" w:rsidRDefault="00454D59" w:rsidP="00454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уроков.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Буряад хэлэн тухай. </w:t>
            </w:r>
          </w:p>
          <w:p w:rsidR="00454D59" w:rsidRPr="00454D59" w:rsidRDefault="00454D59" w:rsidP="00454D5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 бурятском языке)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Буряад хэлэй мүн</w:t>
            </w: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ѳѳ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дэрэй байдал. Литературна ба нютаг хэлэнууд. (</w:t>
            </w:r>
            <w:r w:rsidRPr="00454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Бурятский язык сегодня. Диалекты бурятского языка)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Үгын үе.(</w:t>
            </w:r>
            <w:r w:rsidRPr="00454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Слог)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Танилсалга</w:t>
            </w:r>
            <w:r w:rsidRPr="00454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(Знакомство)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Аялган абяанууд.Аялганай 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убарил</w:t>
            </w:r>
          </w:p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(Закон гармонии гласных)</w:t>
            </w:r>
          </w:p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Хүн.Элүүр энхэ.(Человек.Здоровье)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Тоогой нэрэ. (Имя числительное) Бүлэ. (Семья)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Мэд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YY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лэлэй байгуулга. (Структура предложения) Намар. (осень)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Нюурай түлѳѳнэй үгэнүүд. Личные местоимения. hуралсалай хэрэгсэлнүүд. (Учебные принадлежности)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Ү</w:t>
            </w: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йлэ үгэ. Глагол. Хубсаhан. Буряад хубсаhан. Хубсаhанай магазин . ( Одежда. Бурятская одежда. В магазине одежды)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Юумэнэй нэрэ. Нэрын падеж. (Имя существительное. Именительный падеж.) Гэр. Хаяг. (Дом. Адрес)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100" w:afterAutospacing="1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Хамаанай падеж. Дахуул Үгэнүүд. (Родительный падеж. Послелоги). Үбэл. (Зима).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100" w:afterAutospacing="1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Зүгэй падеж.( Дательно-местный падеж) Сагаалган.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Үйлын падеж. Дахуул үгэнүүд.</w:t>
            </w:r>
          </w:p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Винительный падеж. Послелоги.</w:t>
            </w:r>
          </w:p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Эдеэн. (Еда)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Зэбсэгэй падеж. Наречи. (Орудный падеж. Наречие) hургуули. Школа.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Хамтын падеж. Юм гэhэн зүйр үгэ. (Совместный падеж. Утвердительная частица юм.) Улан-Удэ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Гаралай падеж. (Исходный падеж)</w:t>
            </w:r>
          </w:p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Буряад орон. (Бурятия)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Нюурта хамаадал.( Личное притяжение) Байгал. (Байкал)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Ѳѳртэ хамаадал. Безличное возвратное притяжание) Почто (Почта)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4D5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4D59" w:rsidRPr="00454D59" w:rsidTr="00F24E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4D59" w:rsidRPr="00454D59" w:rsidRDefault="00454D59" w:rsidP="00454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17ч.</w:t>
            </w:r>
          </w:p>
        </w:tc>
      </w:tr>
    </w:tbl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D59" w:rsidRPr="00454D59" w:rsidRDefault="00454D59" w:rsidP="0045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031" w:rsidRDefault="00DA2031"/>
    <w:sectPr w:rsidR="00DA2031" w:rsidSect="00A33174">
      <w:footerReference w:type="default" r:id="rId8"/>
      <w:pgSz w:w="11906" w:h="16838" w:code="9"/>
      <w:pgMar w:top="851" w:right="851" w:bottom="1701" w:left="1418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630" w:rsidRDefault="00262630">
      <w:pPr>
        <w:spacing w:after="0" w:line="240" w:lineRule="auto"/>
      </w:pPr>
      <w:r>
        <w:separator/>
      </w:r>
    </w:p>
  </w:endnote>
  <w:endnote w:type="continuationSeparator" w:id="0">
    <w:p w:rsidR="00262630" w:rsidRDefault="0026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66891"/>
      <w:docPartObj>
        <w:docPartGallery w:val="Page Numbers (Bottom of Page)"/>
        <w:docPartUnique/>
      </w:docPartObj>
    </w:sdtPr>
    <w:sdtEndPr/>
    <w:sdtContent>
      <w:p w:rsidR="00A83A77" w:rsidRDefault="00454D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03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83A77" w:rsidRDefault="002626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630" w:rsidRDefault="00262630">
      <w:pPr>
        <w:spacing w:after="0" w:line="240" w:lineRule="auto"/>
      </w:pPr>
      <w:r>
        <w:separator/>
      </w:r>
    </w:p>
  </w:footnote>
  <w:footnote w:type="continuationSeparator" w:id="0">
    <w:p w:rsidR="00262630" w:rsidRDefault="0026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8558D"/>
    <w:multiLevelType w:val="hybridMultilevel"/>
    <w:tmpl w:val="DD7A0B92"/>
    <w:lvl w:ilvl="0" w:tplc="39DC2C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59"/>
    <w:rsid w:val="0000581B"/>
    <w:rsid w:val="000A1B20"/>
    <w:rsid w:val="000D6F59"/>
    <w:rsid w:val="00103454"/>
    <w:rsid w:val="00112E58"/>
    <w:rsid w:val="001927C9"/>
    <w:rsid w:val="001B16D9"/>
    <w:rsid w:val="001C4233"/>
    <w:rsid w:val="001F5B74"/>
    <w:rsid w:val="00262630"/>
    <w:rsid w:val="002B0247"/>
    <w:rsid w:val="00304D24"/>
    <w:rsid w:val="003234B6"/>
    <w:rsid w:val="003A37EF"/>
    <w:rsid w:val="00401445"/>
    <w:rsid w:val="00437B49"/>
    <w:rsid w:val="0044436A"/>
    <w:rsid w:val="00454D59"/>
    <w:rsid w:val="00493F2D"/>
    <w:rsid w:val="004A31E9"/>
    <w:rsid w:val="004A6EA9"/>
    <w:rsid w:val="004C4B44"/>
    <w:rsid w:val="005006CA"/>
    <w:rsid w:val="0052055F"/>
    <w:rsid w:val="00576205"/>
    <w:rsid w:val="00587C1E"/>
    <w:rsid w:val="005939AF"/>
    <w:rsid w:val="00630082"/>
    <w:rsid w:val="00680A0B"/>
    <w:rsid w:val="00696925"/>
    <w:rsid w:val="006F21CA"/>
    <w:rsid w:val="00747D3A"/>
    <w:rsid w:val="007C78BC"/>
    <w:rsid w:val="007F1283"/>
    <w:rsid w:val="008F05F0"/>
    <w:rsid w:val="00933903"/>
    <w:rsid w:val="0096792C"/>
    <w:rsid w:val="00A70426"/>
    <w:rsid w:val="00AD7031"/>
    <w:rsid w:val="00B17527"/>
    <w:rsid w:val="00B35AEA"/>
    <w:rsid w:val="00B40A10"/>
    <w:rsid w:val="00B41958"/>
    <w:rsid w:val="00B9530C"/>
    <w:rsid w:val="00BA637B"/>
    <w:rsid w:val="00BD0D28"/>
    <w:rsid w:val="00BE620B"/>
    <w:rsid w:val="00C00317"/>
    <w:rsid w:val="00C955D9"/>
    <w:rsid w:val="00D20A9A"/>
    <w:rsid w:val="00DA2031"/>
    <w:rsid w:val="00DD006D"/>
    <w:rsid w:val="00E14855"/>
    <w:rsid w:val="00E8519B"/>
    <w:rsid w:val="00EE52F7"/>
    <w:rsid w:val="00F70B20"/>
    <w:rsid w:val="00FD3BAD"/>
    <w:rsid w:val="00F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4D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54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4D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54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6731</Words>
  <Characters>38369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2023-09-28T00:08:00Z</dcterms:created>
  <dcterms:modified xsi:type="dcterms:W3CDTF">2023-09-28T00:08:00Z</dcterms:modified>
</cp:coreProperties>
</file>